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Два Горшка</w:t>
      </w:r>
      <w:bookmarkEnd w:id="2"/>
    </w:p>
    <w:p>
      <w:pPr/>
      <w:r>
        <w:rPr/>
        <w:t xml:space="preserve">
</w:t>
      </w:r>
    </w:p>
    <w:p>
      <w:pPr/>
      <w:r>
        <w:rPr/>
        <w:t xml:space="preserve">
Река несла в своем течении два горшка — глиняный и медный. «Держись от меня подальше, не подплывай близко, — просит глиняный горшок медного. Чуть ты дотронешься до меня, ты расколотишь меня в куски, а самому мне касаться тебя нет охоты».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