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Огородник и Cобака</w:t>
      </w:r>
      <w:bookmarkEnd w:id="2"/>
    </w:p>
    <w:p>
      <w:pPr/>
      <w:r>
        <w:rPr/>
        <w:t xml:space="preserve">
</w:t>
      </w:r>
    </w:p>
    <w:p>
      <w:pPr/>
      <w:r>
        <w:rPr/>
        <w:t xml:space="preserve">
У огородника собака упала в колодец. Чтобы ее вытащить, он полез за нею сам. Но собака не поняла, зачем он спускается, подумала, что он ее хочет утопить, и укусила его. Сказал огородник, почуяв боль: "Поделом мне: если она сама решила утонуть, зачем мне было ее спасать?"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