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Елена Благинина</w:t></w:r><w:bookmarkEnd w:id="1"/></w:p><w:p><w:pPr><w:pStyle w:val="Heading1"/></w:pPr><w:bookmarkStart w:id="2" w:name="_Toc2"/><w:r><w:t>Черёмуха</w:t></w:r><w:bookmarkEnd w:id="2"/></w:p><w:p><w:pPr/><w:r><w:rPr/><w:t xml:space="preserve">- Черёмуха, черемуха,<br>Ты что стоишь бела?<br>- Для праздника весеннего,<br>Для Мая расцвела.</w:t><w:br/><w:t>
- А ты, трава-муравушка,<br>Что стелешься мягка?<br>- Для праздника весеннего,<br>Для майского денька.</w:t><w:br/><w:t>
- А вы, берёзы тонкие,<br>Что нынче зелены?<br>- Для праздника, для праздника!<br>Для Мая! Для весны!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