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Собака</w:t></w:r><w:bookmarkEnd w:id="2"/></w:p><w:p><w:pPr/><w:r><w:rPr/><w:t xml:space="preserve">Она с утра лежит не лая,<br>Она собака пожилая.</w:t><w:br/><w:t>
Ей надоело лаять, злиться...<br>Большая, рыжая, как львица,<br>Она лежит не шевелится<br>И смотрит молча, не ворча,<br>На прилетевшего грача.</w:t><w:br/><w:t>
А этот грач<br>Совсем не глуп:<br>Из чашки пьет<br>Собачий суп.</w:t><w:br/><w:t>
— Ты что молчишь? —<br>Кричит ей кто-то.<br>Ей даже тявкнуть<br>Неохота,<br>Ее с утра<br>Берет дремота...</w:t><w:br/><w:t>
Собака спит.<br>Ей снится детство:<br>Она щенок,<br>И все кричат:<br>«Да замолчи ты,<br>Наконец-то!<br>Опять ты лаешь<br>На грачат!»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