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Богач и Кожевник</w:t>
      </w:r>
      <w:bookmarkEnd w:id="2"/>
    </w:p>
    <w:p>
      <w:pPr/>
      <w:r>
        <w:rPr/>
        <w:t xml:space="preserve">
</w:t>
      </w:r>
    </w:p>
    <w:p>
      <w:pPr/>
      <w:r>
        <w:rPr/>
        <w:t xml:space="preserve">
Богач поселился рядом с кожевником; но, не в силах выносить вонь, стал его уговаривать переехать отсюда. А тот все время откладывал, обещая со дня на день переехать. Так оно и шло, пока не кончилось дело тем, что богач привык к запаху и перестал докучать кожевнику.
</w:t>
      </w:r>
    </w:p>
    <w:p>
      <w:pPr/>
      <w:r>
        <w:rPr/>
        <w:t xml:space="preserve">
Басня показывает, что привычка и неудобства смягчает.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