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Эзоп</w:t></w:r><w:bookmarkEnd w:id="1"/></w:p><w:p><w:pPr><w:pStyle w:val="Heading1"/></w:pPr><w:bookmarkStart w:id="2" w:name="_Toc2"/><w:r><w:t>Две Лягушки</w:t></w:r><w:bookmarkEnd w:id="2"/></w:p><w:p><w:pPr/><w:r><w:rPr/><w:t xml:space="preserve">
</w:t></w:r></w:p><w:p><w:pPr/><w:r><w:rPr/><w:t xml:space="preserve">
Басня Две Лягушки читать в переводе Гаспарова М.<br>
Две лягушки жили по соседству: одна - в глубоком пруду в стороне от дороги, другая - на самой дороге, где воды было мало. Та, которая жила в пруду, уговаривала другую перебраться к ней, чтобы жить и сытнее и спокойнее. Но другая не соглашалась и все говорила, что привыкла к своему месту и не может расстаться с ним, - пока, наконец, случайно проезжавшая телега ее не раздавила.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