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Позавидовал крестьянин соседу, увидев тучные его хлеба. Поймал он лисицу, запалил ей хвост, и пустил её, охваченную пламенем, на соседское поле — пусть сгорит оно, и никто не узнает, откуда взялся огонь! Но не тут-то было, — Фортуна возьми да и поверни лисицу вместо соседского поля на его собственное. Вот оно-то и сгорело дотла.
</w:t>
      </w:r>
    </w:p>
    <w:p>
      <w:pPr/>
      <w:r>
        <w:rPr/>
        <w:t xml:space="preserve">
А надо было бы ему знать, что плохой сосед, желая напакостить другому, прежде всего, пакостит самому себе!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