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Купающийся мальчик</w:t>
      </w:r>
      <w:bookmarkEnd w:id="2"/>
    </w:p>
    <w:p>
      <w:pPr/>
      <w:r>
        <w:rPr/>
        <w:t xml:space="preserve">
</w:t>
      </w:r>
    </w:p>
    <w:p>
      <w:pPr/>
      <w:r>
        <w:rPr/>
        <w:t xml:space="preserve">
Мальчик однажды, купаясь в реке, стал тонуть; заметил он прохожего и позвал его на помощь. Тот начал бранить мальчика за то, что он полез в воду, не подумав; но мальчик ему ответил: "Сперва ты мне помоги, а потом, когда вытащишь, тогда и ругай".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