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Гименей</w:t>
      </w:r>
      <w:bookmarkEnd w:id="2"/>
    </w:p>
    <w:p>
      <w:pPr/>
      <w:r>
        <w:rPr/>
        <w:t xml:space="preserve"/>
      </w:r>
    </w:p>
    <w:p>
      <w:pPr/>
      <w:r>
        <w:rPr/>
        <w:t xml:space="preserve">
Есть еще один помощник и спутник у Афродиты - это юный бог брака Гименей. Он летит на своих белоснежных крыльях впереди свадебных шествий. Ярко горит пламя его брачного факела. Хоры девушек призывают во время свадьбы Гименея, моля его благословить брак молодых и послать радость в их жизни.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