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Даниил Хармс</w:t></w:r><w:bookmarkEnd w:id="1"/></w:p><w:p><w:pPr><w:pStyle w:val="Heading1"/></w:pPr><w:bookmarkStart w:id="2" w:name="_Toc2"/><w:r><w:t>Девять картин нарисовано тут</w:t></w:r><w:bookmarkEnd w:id="2"/></w:p><w:p><w:pPr/><w:r><w:rPr/><w:t xml:space="preserve">Девять<br></w:t><w:br/><w:t>
Картин<br></w:t><w:br/><w:t>
Нарисовано<br></w:t><w:br/><w:t>
Тут.</w:t><w:br/><w:t>
Мы разглядели их<br></w:t><w:br/><w:t>
В девять<br></w:t><w:br/><w:t>
Минут.<br></w:t><w:br/><w:t>
Но если б<br></w:t><w:br/><w:t>
Их было<br></w:t><w:br/><w:t>
Не девять,<br></w:t><w:br/><w:t>
А больше,<br></w:t><w:br/><w:t>
То мы<br></w:t><w:br/><w:t>
И глазели<br></w:t><w:br/><w:t>
На них бы<br></w:t><w:br/><w:t>
Подольше.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