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Травнiкъ</w:t>
      </w:r>
      <w:bookmarkEnd w:id="1"/>
    </w:p>
    <w:p>
      <w:pPr>
        <w:pStyle w:val="Heading1"/>
      </w:pPr>
      <w:bookmarkStart w:id="2" w:name="_Toc2"/>
      <w:r>
        <w:t>Мой друг - гном</w:t>
      </w:r>
      <w:bookmarkEnd w:id="2"/>
    </w:p>
    <w:p>
      <w:pPr/>
      <w:r>
        <w:rPr/>
        <w:t xml:space="preserve">Ко мне пришёл сегодня гном, </w:t>
        <w:br/>
        <w:t>
  Уселся тихо под столом, </w:t>
        <w:br/>
        <w:t>
  Сидел и слушал не дыша: </w:t>
        <w:br/>
        <w:t>
  Что он там делает шурша?.. </w:t>
        <w:br/>
        <w:t>
  А я писал статью про то, </w:t>
        <w:br/>
        <w:t>
  Что гномы в сказках и в кино…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